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07F3D6" w14:textId="77777777" w:rsidR="0084707A" w:rsidRDefault="006B0DF0">
      <w:pPr>
        <w:jc w:val="center"/>
        <w:rPr>
          <w:rFonts w:ascii="Century Gothic" w:eastAsia="Century Gothic" w:hAnsi="Century Gothic" w:cs="Century Gothic"/>
          <w:b/>
          <w:sz w:val="48"/>
          <w:szCs w:val="48"/>
        </w:rPr>
      </w:pPr>
      <w:r>
        <w:rPr>
          <w:rFonts w:ascii="Century Gothic" w:eastAsia="Century Gothic" w:hAnsi="Century Gothic" w:cs="Century Gothic"/>
          <w:b/>
          <w:sz w:val="48"/>
          <w:szCs w:val="48"/>
        </w:rPr>
        <w:t>MUNICIPALIDAD DE SAN LUCAS SACATEPÉQUEZ, SACATEPÉQUEZ</w:t>
      </w:r>
      <w:r>
        <w:rPr>
          <w:noProof/>
        </w:rPr>
        <w:drawing>
          <wp:anchor distT="0" distB="0" distL="0" distR="0" simplePos="0" relativeHeight="251658240" behindDoc="1" locked="0" layoutInCell="1" hidden="0" allowOverlap="1" wp14:anchorId="5118F17C" wp14:editId="44F509BF">
            <wp:simplePos x="0" y="0"/>
            <wp:positionH relativeFrom="column">
              <wp:posOffset>0</wp:posOffset>
            </wp:positionH>
            <wp:positionV relativeFrom="paragraph">
              <wp:posOffset>-493084</wp:posOffset>
            </wp:positionV>
            <wp:extent cx="854075" cy="1184910"/>
            <wp:effectExtent l="0" t="0" r="0" b="0"/>
            <wp:wrapNone/>
            <wp:docPr id="6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tbl>
      <w:tblPr>
        <w:tblStyle w:val="a"/>
        <w:tblW w:w="137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56"/>
        <w:gridCol w:w="8"/>
        <w:gridCol w:w="1867"/>
        <w:gridCol w:w="3702"/>
        <w:gridCol w:w="2520"/>
        <w:gridCol w:w="2992"/>
      </w:tblGrid>
      <w:tr w:rsidR="0084707A" w14:paraId="02DD391D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074CA5BC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Proceso:</w:t>
            </w:r>
          </w:p>
        </w:tc>
        <w:tc>
          <w:tcPr>
            <w:tcW w:w="5569" w:type="dxa"/>
            <w:gridSpan w:val="2"/>
          </w:tcPr>
          <w:p w14:paraId="227EC875" w14:textId="167ADA7F" w:rsidR="0084707A" w:rsidRDefault="009F53AF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Informe de Gestión y Ejecución Presupuestaria</w:t>
            </w:r>
          </w:p>
        </w:tc>
        <w:tc>
          <w:tcPr>
            <w:tcW w:w="2520" w:type="dxa"/>
            <w:shd w:val="clear" w:color="auto" w:fill="99CC00"/>
          </w:tcPr>
          <w:p w14:paraId="74DCFBF4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Identificación:</w:t>
            </w:r>
          </w:p>
        </w:tc>
        <w:tc>
          <w:tcPr>
            <w:tcW w:w="2992" w:type="dxa"/>
          </w:tcPr>
          <w:p w14:paraId="5CBABC78" w14:textId="4E86A81D" w:rsidR="0084707A" w:rsidRPr="009F53AF" w:rsidRDefault="009F53AF">
            <w:pPr>
              <w:jc w:val="center"/>
              <w:rPr>
                <w:rFonts w:ascii="Century Gothic" w:eastAsia="Century Gothic" w:hAnsi="Century Gothic" w:cs="Century Gothic"/>
                <w:b/>
                <w:bCs/>
                <w:sz w:val="20"/>
                <w:szCs w:val="20"/>
              </w:rPr>
            </w:pPr>
            <w:r w:rsidRPr="009F53AF">
              <w:rPr>
                <w:b/>
                <w:bCs/>
                <w:lang w:val="en-US"/>
              </w:rPr>
              <w:t>PR-MSL-DAFIM-IGEP-05</w:t>
            </w:r>
          </w:p>
        </w:tc>
      </w:tr>
      <w:tr w:rsidR="0084707A" w14:paraId="6DBEFFC8" w14:textId="77777777">
        <w:tc>
          <w:tcPr>
            <w:tcW w:w="2664" w:type="dxa"/>
            <w:gridSpan w:val="2"/>
            <w:shd w:val="clear" w:color="auto" w:fill="99CC00"/>
            <w:vAlign w:val="center"/>
          </w:tcPr>
          <w:p w14:paraId="7BE4C820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Procedimiento:</w:t>
            </w:r>
          </w:p>
        </w:tc>
        <w:tc>
          <w:tcPr>
            <w:tcW w:w="5569" w:type="dxa"/>
            <w:gridSpan w:val="2"/>
          </w:tcPr>
          <w:p w14:paraId="12DE757B" w14:textId="3B9104C8" w:rsidR="0084707A" w:rsidRDefault="009F53A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Informe de Gestión y Ejecución Presupuestaria</w:t>
            </w:r>
          </w:p>
        </w:tc>
        <w:tc>
          <w:tcPr>
            <w:tcW w:w="2520" w:type="dxa"/>
            <w:shd w:val="clear" w:color="auto" w:fill="99CC00"/>
          </w:tcPr>
          <w:p w14:paraId="7B4DB1D8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Versión:</w:t>
            </w:r>
          </w:p>
        </w:tc>
        <w:tc>
          <w:tcPr>
            <w:tcW w:w="2992" w:type="dxa"/>
          </w:tcPr>
          <w:p w14:paraId="6EAC9437" w14:textId="688B8C5B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1</w:t>
            </w:r>
          </w:p>
        </w:tc>
      </w:tr>
      <w:tr w:rsidR="0084707A" w14:paraId="47E65122" w14:textId="77777777">
        <w:tc>
          <w:tcPr>
            <w:tcW w:w="4531" w:type="dxa"/>
            <w:gridSpan w:val="3"/>
            <w:shd w:val="clear" w:color="auto" w:fill="99CC00"/>
            <w:vAlign w:val="center"/>
          </w:tcPr>
          <w:p w14:paraId="181A842C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Dirección</w:t>
            </w:r>
          </w:p>
        </w:tc>
        <w:tc>
          <w:tcPr>
            <w:tcW w:w="3702" w:type="dxa"/>
            <w:shd w:val="clear" w:color="auto" w:fill="99CC00"/>
          </w:tcPr>
          <w:p w14:paraId="4C4D41C8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Departamento</w:t>
            </w:r>
          </w:p>
        </w:tc>
        <w:tc>
          <w:tcPr>
            <w:tcW w:w="5512" w:type="dxa"/>
            <w:gridSpan w:val="2"/>
            <w:shd w:val="clear" w:color="auto" w:fill="99CC00"/>
          </w:tcPr>
          <w:p w14:paraId="4AE17F88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Unidad</w:t>
            </w:r>
          </w:p>
        </w:tc>
      </w:tr>
      <w:tr w:rsidR="0084707A" w14:paraId="42D71B6D" w14:textId="77777777">
        <w:tc>
          <w:tcPr>
            <w:tcW w:w="4531" w:type="dxa"/>
            <w:gridSpan w:val="3"/>
            <w:vAlign w:val="center"/>
          </w:tcPr>
          <w:p w14:paraId="69C35F30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0727AC7A" w14:textId="1A6324E8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Administración Financiera Integrada Municipal</w:t>
            </w:r>
          </w:p>
          <w:p w14:paraId="18107759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</w:tc>
        <w:tc>
          <w:tcPr>
            <w:tcW w:w="3702" w:type="dxa"/>
          </w:tcPr>
          <w:p w14:paraId="4ABF5F8F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2AC1BCB4" w14:textId="77777777" w:rsidR="0084707A" w:rsidRDefault="006B0DF0" w:rsidP="009F53AF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  <w:tc>
          <w:tcPr>
            <w:tcW w:w="5512" w:type="dxa"/>
            <w:gridSpan w:val="2"/>
          </w:tcPr>
          <w:p w14:paraId="6571115E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</w:p>
          <w:p w14:paraId="3DB42408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 Aplica</w:t>
            </w:r>
          </w:p>
        </w:tc>
      </w:tr>
      <w:tr w:rsidR="0084707A" w14:paraId="6706FB78" w14:textId="77777777">
        <w:trPr>
          <w:trHeight w:val="684"/>
        </w:trPr>
        <w:tc>
          <w:tcPr>
            <w:tcW w:w="2656" w:type="dxa"/>
            <w:shd w:val="clear" w:color="auto" w:fill="99CC00"/>
            <w:vAlign w:val="center"/>
          </w:tcPr>
          <w:p w14:paraId="5143FA3D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  <w:vAlign w:val="center"/>
          </w:tcPr>
          <w:p w14:paraId="37E3E79A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Nombre Completo</w:t>
            </w:r>
          </w:p>
        </w:tc>
        <w:tc>
          <w:tcPr>
            <w:tcW w:w="2520" w:type="dxa"/>
            <w:shd w:val="clear" w:color="auto" w:fill="99CC00"/>
            <w:vAlign w:val="center"/>
          </w:tcPr>
          <w:p w14:paraId="3D38D8EF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Firma</w:t>
            </w:r>
          </w:p>
        </w:tc>
        <w:tc>
          <w:tcPr>
            <w:tcW w:w="2992" w:type="dxa"/>
            <w:shd w:val="clear" w:color="auto" w:fill="99CC00"/>
            <w:vAlign w:val="center"/>
          </w:tcPr>
          <w:p w14:paraId="48E7286F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Elaboración</w:t>
            </w:r>
          </w:p>
        </w:tc>
      </w:tr>
      <w:tr w:rsidR="0084707A" w14:paraId="161F56BE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11EA1FEF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Elaborado por: </w:t>
            </w:r>
          </w:p>
        </w:tc>
        <w:tc>
          <w:tcPr>
            <w:tcW w:w="5577" w:type="dxa"/>
            <w:gridSpan w:val="3"/>
            <w:vAlign w:val="center"/>
          </w:tcPr>
          <w:p w14:paraId="5DD7D888" w14:textId="77777777" w:rsidR="0084707A" w:rsidRPr="009F53AF" w:rsidRDefault="006B0DF0">
            <w:pPr>
              <w:rPr>
                <w:rFonts w:ascii="Century Gothic" w:eastAsia="Century Gothic" w:hAnsi="Century Gothic" w:cs="Century Gothic"/>
                <w:b/>
              </w:rPr>
            </w:pPr>
            <w:hyperlink r:id="rId9">
              <w:r w:rsidRPr="009F53AF">
                <w:rPr>
                  <w:rFonts w:ascii="Century Gothic" w:eastAsia="Century Gothic" w:hAnsi="Century Gothic" w:cs="Century Gothic"/>
                  <w:b/>
                </w:rPr>
                <w:t xml:space="preserve">Kelly </w:t>
              </w:r>
              <w:proofErr w:type="spellStart"/>
              <w:r w:rsidRPr="009F53AF">
                <w:rPr>
                  <w:rFonts w:ascii="Century Gothic" w:eastAsia="Century Gothic" w:hAnsi="Century Gothic" w:cs="Century Gothic"/>
                  <w:b/>
                </w:rPr>
                <w:t>Edenylson</w:t>
              </w:r>
              <w:proofErr w:type="spellEnd"/>
              <w:r w:rsidRPr="009F53AF">
                <w:rPr>
                  <w:rFonts w:ascii="Century Gothic" w:eastAsia="Century Gothic" w:hAnsi="Century Gothic" w:cs="Century Gothic"/>
                  <w:b/>
                </w:rPr>
                <w:t xml:space="preserve"> Rosales Saravia</w:t>
              </w:r>
            </w:hyperlink>
          </w:p>
        </w:tc>
        <w:tc>
          <w:tcPr>
            <w:tcW w:w="2520" w:type="dxa"/>
            <w:vMerge w:val="restart"/>
          </w:tcPr>
          <w:p w14:paraId="3C9AC8E6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191A0430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20 de mayo 2025</w:t>
            </w:r>
          </w:p>
        </w:tc>
      </w:tr>
      <w:tr w:rsidR="0084707A" w14:paraId="0323895B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4B4F7E6E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43B21FC5" w14:textId="1D5BFC77" w:rsidR="0084707A" w:rsidRDefault="006B0DF0">
            <w:pPr>
              <w:rPr>
                <w:rFonts w:ascii="Century Gothic" w:eastAsia="Century Gothic" w:hAnsi="Century Gothic" w:cs="Century Gothic"/>
                <w:b/>
              </w:rPr>
            </w:pPr>
            <w:r>
              <w:rPr>
                <w:rFonts w:ascii="Century Gothic" w:eastAsia="Century Gothic" w:hAnsi="Century Gothic" w:cs="Century Gothic"/>
                <w:b/>
              </w:rPr>
              <w:t xml:space="preserve">Director </w:t>
            </w:r>
            <w:r w:rsidR="00A43719">
              <w:rPr>
                <w:rFonts w:ascii="Century Gothic" w:eastAsia="Century Gothic" w:hAnsi="Century Gothic" w:cs="Century Gothic"/>
                <w:b/>
              </w:rPr>
              <w:t xml:space="preserve">de </w:t>
            </w:r>
            <w:r>
              <w:rPr>
                <w:rFonts w:ascii="Century Gothic" w:eastAsia="Century Gothic" w:hAnsi="Century Gothic" w:cs="Century Gothic"/>
                <w:b/>
              </w:rPr>
              <w:t>Administración Financiera Integrada Municipal</w:t>
            </w:r>
          </w:p>
        </w:tc>
        <w:tc>
          <w:tcPr>
            <w:tcW w:w="2520" w:type="dxa"/>
            <w:vMerge/>
          </w:tcPr>
          <w:p w14:paraId="2379B24B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0EB9A60A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4707A" w14:paraId="01AAE6E3" w14:textId="77777777">
        <w:trPr>
          <w:trHeight w:val="361"/>
        </w:trPr>
        <w:tc>
          <w:tcPr>
            <w:tcW w:w="2656" w:type="dxa"/>
            <w:shd w:val="clear" w:color="auto" w:fill="99CC00"/>
            <w:vAlign w:val="center"/>
          </w:tcPr>
          <w:p w14:paraId="0559129F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452C17D5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479B2E72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2751A16F" w14:textId="03038D8C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 xml:space="preserve">Fecha de </w:t>
            </w:r>
            <w:r w:rsidR="009F53AF"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</w:t>
            </w: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evisado</w:t>
            </w:r>
          </w:p>
        </w:tc>
      </w:tr>
      <w:tr w:rsidR="0084707A" w14:paraId="39279005" w14:textId="77777777">
        <w:trPr>
          <w:trHeight w:val="574"/>
        </w:trPr>
        <w:tc>
          <w:tcPr>
            <w:tcW w:w="2656" w:type="dxa"/>
            <w:shd w:val="clear" w:color="auto" w:fill="99CC00"/>
            <w:vAlign w:val="center"/>
          </w:tcPr>
          <w:p w14:paraId="1468317D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Revisado por:</w:t>
            </w:r>
          </w:p>
        </w:tc>
        <w:tc>
          <w:tcPr>
            <w:tcW w:w="5577" w:type="dxa"/>
            <w:gridSpan w:val="3"/>
            <w:vAlign w:val="center"/>
          </w:tcPr>
          <w:p w14:paraId="7C3F4387" w14:textId="3A59DB46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220E8EF3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238ED253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84707A" w14:paraId="6F2984FB" w14:textId="77777777">
        <w:trPr>
          <w:trHeight w:val="389"/>
        </w:trPr>
        <w:tc>
          <w:tcPr>
            <w:tcW w:w="2656" w:type="dxa"/>
            <w:shd w:val="clear" w:color="auto" w:fill="99CC00"/>
            <w:vAlign w:val="center"/>
          </w:tcPr>
          <w:p w14:paraId="3DCCEFCD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7A185918" w14:textId="243DD4BD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/>
          </w:tcPr>
          <w:p w14:paraId="131EF4D1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/>
            <w:vAlign w:val="center"/>
          </w:tcPr>
          <w:p w14:paraId="25A2BC96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</w:rPr>
            </w:pPr>
          </w:p>
        </w:tc>
      </w:tr>
      <w:tr w:rsidR="0084707A" w14:paraId="30E8BB20" w14:textId="77777777">
        <w:trPr>
          <w:trHeight w:val="355"/>
        </w:trPr>
        <w:tc>
          <w:tcPr>
            <w:tcW w:w="2656" w:type="dxa"/>
            <w:shd w:val="clear" w:color="auto" w:fill="99CC00"/>
            <w:vAlign w:val="center"/>
          </w:tcPr>
          <w:p w14:paraId="26DF7DC2" w14:textId="77777777" w:rsidR="0084707A" w:rsidRDefault="0084707A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</w:p>
        </w:tc>
        <w:tc>
          <w:tcPr>
            <w:tcW w:w="5577" w:type="dxa"/>
            <w:gridSpan w:val="3"/>
            <w:shd w:val="clear" w:color="auto" w:fill="99CC00"/>
          </w:tcPr>
          <w:p w14:paraId="66E83698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shd w:val="clear" w:color="auto" w:fill="99CC00"/>
          </w:tcPr>
          <w:p w14:paraId="75834B1E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shd w:val="clear" w:color="auto" w:fill="99CC00"/>
          </w:tcPr>
          <w:p w14:paraId="48E5BF4D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Fecha de Aprobación</w:t>
            </w:r>
          </w:p>
        </w:tc>
      </w:tr>
      <w:tr w:rsidR="0084707A" w14:paraId="5832680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6B5F7F68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Aprobado por:</w:t>
            </w:r>
          </w:p>
        </w:tc>
        <w:tc>
          <w:tcPr>
            <w:tcW w:w="5577" w:type="dxa"/>
            <w:gridSpan w:val="3"/>
          </w:tcPr>
          <w:p w14:paraId="435092EC" w14:textId="77777777" w:rsidR="00973B2A" w:rsidRPr="00973B2A" w:rsidRDefault="00973B2A" w:rsidP="00973B2A">
            <w:pPr>
              <w:rPr>
                <w:rFonts w:ascii="Century Gothic" w:eastAsia="Century Gothic" w:hAnsi="Century Gothic" w:cs="Century Gothic"/>
                <w:b/>
              </w:rPr>
            </w:pPr>
            <w:r w:rsidRPr="00973B2A">
              <w:rPr>
                <w:rFonts w:ascii="Century Gothic" w:eastAsia="Century Gothic" w:hAnsi="Century Gothic" w:cs="Century Gothic"/>
                <w:b/>
              </w:rPr>
              <w:t>Lic. Yener Haroldo Plaza Natareno</w:t>
            </w:r>
          </w:p>
          <w:p w14:paraId="49A7AF3E" w14:textId="1F00887F" w:rsidR="0084707A" w:rsidRDefault="0084707A" w:rsidP="00973B2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520" w:type="dxa"/>
            <w:vMerge w:val="restart"/>
          </w:tcPr>
          <w:p w14:paraId="40FABE1B" w14:textId="77777777" w:rsidR="0084707A" w:rsidRDefault="0084707A">
            <w:pPr>
              <w:rPr>
                <w:rFonts w:ascii="Century Gothic" w:eastAsia="Century Gothic" w:hAnsi="Century Gothic" w:cs="Century Gothic"/>
                <w:b/>
              </w:rPr>
            </w:pPr>
          </w:p>
        </w:tc>
        <w:tc>
          <w:tcPr>
            <w:tcW w:w="2992" w:type="dxa"/>
            <w:vMerge w:val="restart"/>
            <w:vAlign w:val="center"/>
          </w:tcPr>
          <w:p w14:paraId="6E5BF0D1" w14:textId="77777777" w:rsidR="0084707A" w:rsidRDefault="0084707A">
            <w:pPr>
              <w:jc w:val="center"/>
              <w:rPr>
                <w:rFonts w:ascii="Century Gothic" w:eastAsia="Century Gothic" w:hAnsi="Century Gothic" w:cs="Century Gothic"/>
                <w:b/>
                <w:sz w:val="40"/>
                <w:szCs w:val="40"/>
              </w:rPr>
            </w:pPr>
          </w:p>
        </w:tc>
      </w:tr>
      <w:tr w:rsidR="0084707A" w14:paraId="0ABA8D7D" w14:textId="77777777">
        <w:trPr>
          <w:trHeight w:val="587"/>
        </w:trPr>
        <w:tc>
          <w:tcPr>
            <w:tcW w:w="2656" w:type="dxa"/>
            <w:shd w:val="clear" w:color="auto" w:fill="99CC00"/>
            <w:vAlign w:val="center"/>
          </w:tcPr>
          <w:p w14:paraId="20CEAABE" w14:textId="77777777" w:rsidR="0084707A" w:rsidRDefault="006B0DF0">
            <w:pP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</w:pPr>
            <w:r>
              <w:rPr>
                <w:rFonts w:ascii="Century Gothic" w:eastAsia="Century Gothic" w:hAnsi="Century Gothic" w:cs="Century Gothic"/>
                <w:b/>
                <w:sz w:val="28"/>
                <w:szCs w:val="28"/>
              </w:rPr>
              <w:t>Puesto:</w:t>
            </w:r>
          </w:p>
        </w:tc>
        <w:tc>
          <w:tcPr>
            <w:tcW w:w="5577" w:type="dxa"/>
            <w:gridSpan w:val="3"/>
          </w:tcPr>
          <w:p w14:paraId="337903B4" w14:textId="72813AFD" w:rsidR="0084707A" w:rsidRDefault="00973B2A" w:rsidP="00A43719">
            <w:pPr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  <w:r w:rsidRPr="00973B2A">
              <w:rPr>
                <w:rFonts w:ascii="Century Gothic" w:eastAsia="Century Gothic" w:hAnsi="Century Gothic" w:cs="Century Gothic"/>
                <w:b/>
              </w:rPr>
              <w:t>Alcalde Municipal</w:t>
            </w:r>
          </w:p>
        </w:tc>
        <w:tc>
          <w:tcPr>
            <w:tcW w:w="2520" w:type="dxa"/>
            <w:vMerge/>
          </w:tcPr>
          <w:p w14:paraId="448FF193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  <w:tc>
          <w:tcPr>
            <w:tcW w:w="2992" w:type="dxa"/>
            <w:vMerge/>
            <w:vAlign w:val="center"/>
          </w:tcPr>
          <w:p w14:paraId="61335E6E" w14:textId="77777777" w:rsidR="0084707A" w:rsidRDefault="0084707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Century Gothic" w:eastAsia="Century Gothic" w:hAnsi="Century Gothic" w:cs="Century Gothic"/>
                <w:b/>
                <w:sz w:val="48"/>
                <w:szCs w:val="48"/>
              </w:rPr>
            </w:pPr>
          </w:p>
        </w:tc>
      </w:tr>
    </w:tbl>
    <w:p w14:paraId="7782B806" w14:textId="77777777" w:rsidR="0084707A" w:rsidRDefault="006B0DF0" w:rsidP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Objetivo</w:t>
      </w:r>
    </w:p>
    <w:p w14:paraId="6CDABE74" w14:textId="0FA36010" w:rsidR="0084707A" w:rsidRDefault="006B0DF0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  <w:r>
        <w:rPr>
          <w:rFonts w:ascii="Century Gothic" w:eastAsia="Century Gothic" w:hAnsi="Century Gothic" w:cs="Century Gothic"/>
          <w:sz w:val="24"/>
          <w:szCs w:val="24"/>
        </w:rPr>
        <w:t xml:space="preserve">El procedimiento de </w:t>
      </w:r>
      <w:r w:rsidR="00250832">
        <w:rPr>
          <w:rFonts w:ascii="Century Gothic" w:eastAsia="Century Gothic" w:hAnsi="Century Gothic" w:cs="Century Gothic"/>
          <w:sz w:val="24"/>
          <w:szCs w:val="24"/>
        </w:rPr>
        <w:t xml:space="preserve">elaborar los informes de gestión y </w:t>
      </w:r>
      <w:r w:rsidR="007E5A96">
        <w:rPr>
          <w:rFonts w:ascii="Century Gothic" w:eastAsia="Century Gothic" w:hAnsi="Century Gothic" w:cs="Century Gothic"/>
          <w:sz w:val="24"/>
          <w:szCs w:val="24"/>
        </w:rPr>
        <w:t>ejecución</w:t>
      </w:r>
      <w:r w:rsidR="00250832">
        <w:rPr>
          <w:rFonts w:ascii="Century Gothic" w:eastAsia="Century Gothic" w:hAnsi="Century Gothic" w:cs="Century Gothic"/>
          <w:sz w:val="24"/>
          <w:szCs w:val="24"/>
        </w:rPr>
        <w:t xml:space="preserve"> tiene la finalidad de cumplir con la transparencia y la rendición de cuentas, de manera cuatrimestral, </w:t>
      </w:r>
      <w:r w:rsidR="00A51941">
        <w:rPr>
          <w:rFonts w:ascii="Century Gothic" w:eastAsia="Century Gothic" w:hAnsi="Century Gothic" w:cs="Century Gothic"/>
          <w:sz w:val="24"/>
          <w:szCs w:val="24"/>
        </w:rPr>
        <w:t>informando al Concejo Municipal, COMUDE, Contraloría General de Cuentas, Ministerio de Finanzas Públicas, Secretaría de Planificación y Programación de la Presidencia, acerca de la ejecución presupuestaria y financiera municipal</w:t>
      </w:r>
      <w:r w:rsidR="008D03A5">
        <w:rPr>
          <w:rFonts w:ascii="Century Gothic" w:eastAsia="Century Gothic" w:hAnsi="Century Gothic" w:cs="Century Gothic"/>
          <w:sz w:val="24"/>
          <w:szCs w:val="24"/>
        </w:rPr>
        <w:t>.</w:t>
      </w:r>
    </w:p>
    <w:p w14:paraId="15C2D603" w14:textId="77777777" w:rsidR="0084707A" w:rsidRDefault="006B0DF0" w:rsidP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Marco Legal</w:t>
      </w:r>
    </w:p>
    <w:p w14:paraId="6E98F3EC" w14:textId="77777777" w:rsidR="0084707A" w:rsidRPr="007E5A96" w:rsidRDefault="006B0DF0" w:rsidP="007E5A96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>Constitución Política de la República de Guatemala</w:t>
      </w:r>
    </w:p>
    <w:p w14:paraId="7CD2A5D5" w14:textId="77777777" w:rsidR="0084707A" w:rsidRPr="007E5A96" w:rsidRDefault="006B0DF0" w:rsidP="007E5A96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>Código Municipal, Decreto 12-2012</w:t>
      </w:r>
    </w:p>
    <w:p w14:paraId="3830DB62" w14:textId="77777777" w:rsidR="0084707A" w:rsidRPr="007E5A96" w:rsidRDefault="006B0DF0" w:rsidP="007E5A96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>Ley Orgánica del Presupuesto y su Reglamento, Decreto 101-97</w:t>
      </w:r>
    </w:p>
    <w:p w14:paraId="1ED3007C" w14:textId="77777777" w:rsidR="0084707A" w:rsidRPr="007E5A96" w:rsidRDefault="006B0DF0" w:rsidP="007E5A96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>Ley del Presupuesto General de Ingresos y Egresos del Estado</w:t>
      </w:r>
    </w:p>
    <w:p w14:paraId="34615CA8" w14:textId="16305EAD" w:rsidR="00021A17" w:rsidRPr="007E5A96" w:rsidRDefault="00021A17" w:rsidP="007E5A96">
      <w:pPr>
        <w:pStyle w:val="ListParagraph"/>
        <w:numPr>
          <w:ilvl w:val="0"/>
          <w:numId w:val="3"/>
        </w:numPr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>Manual de Administración Financiera Integrada Municipal -MAFIM- Acuerdo Ministerial 558-2021 Segunda Edición</w:t>
      </w:r>
    </w:p>
    <w:p w14:paraId="6505A44E" w14:textId="110F5311" w:rsidR="007E5A96" w:rsidRPr="007E5A96" w:rsidRDefault="007E5A96" w:rsidP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7E5A96">
        <w:rPr>
          <w:rFonts w:ascii="Century Gothic" w:eastAsia="Century Gothic" w:hAnsi="Century Gothic" w:cs="Century Gothic"/>
          <w:b/>
          <w:sz w:val="36"/>
          <w:szCs w:val="36"/>
        </w:rPr>
        <w:t>Normas de Aplicación Interna</w:t>
      </w:r>
    </w:p>
    <w:p w14:paraId="6774760A" w14:textId="77777777" w:rsidR="007E5A96" w:rsidRDefault="007E5A96" w:rsidP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t>Usuarios</w:t>
      </w:r>
    </w:p>
    <w:p w14:paraId="79E151D8" w14:textId="77777777" w:rsidR="007E5A96" w:rsidRPr="007E5A96" w:rsidRDefault="007E5A96" w:rsidP="007E5A96">
      <w:pPr>
        <w:pStyle w:val="ListParagraph"/>
        <w:numPr>
          <w:ilvl w:val="0"/>
          <w:numId w:val="4"/>
        </w:numPr>
        <w:spacing w:line="240" w:lineRule="auto"/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>Concejo Municipal</w:t>
      </w:r>
    </w:p>
    <w:p w14:paraId="540DC11B" w14:textId="77777777" w:rsidR="007E5A96" w:rsidRPr="007E5A96" w:rsidRDefault="007E5A96" w:rsidP="007E5A96">
      <w:pPr>
        <w:pStyle w:val="ListParagraph"/>
        <w:numPr>
          <w:ilvl w:val="0"/>
          <w:numId w:val="4"/>
        </w:numPr>
        <w:spacing w:line="240" w:lineRule="auto"/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>Alcaldía Municipal</w:t>
      </w:r>
    </w:p>
    <w:p w14:paraId="2EB6098B" w14:textId="77777777" w:rsidR="007E5A96" w:rsidRPr="007E5A96" w:rsidRDefault="007E5A96" w:rsidP="007E5A96">
      <w:pPr>
        <w:pStyle w:val="ListParagraph"/>
        <w:numPr>
          <w:ilvl w:val="0"/>
          <w:numId w:val="4"/>
        </w:numPr>
        <w:spacing w:line="240" w:lineRule="auto"/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>Dirección de Administración Financiera Integrada Municipal</w:t>
      </w:r>
    </w:p>
    <w:p w14:paraId="6F068049" w14:textId="77777777" w:rsidR="007E5A96" w:rsidRDefault="007E5A96">
      <w:pPr>
        <w:rPr>
          <w:rFonts w:ascii="Century Gothic" w:eastAsia="Century Gothic" w:hAnsi="Century Gothic" w:cs="Century Gothic"/>
          <w:b/>
          <w:sz w:val="48"/>
          <w:szCs w:val="48"/>
        </w:rPr>
      </w:pPr>
    </w:p>
    <w:p w14:paraId="4854E33B" w14:textId="62FD62F9" w:rsidR="0084707A" w:rsidRPr="007E5A96" w:rsidRDefault="006B0DF0" w:rsidP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7E5A96"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Requisitos</w:t>
      </w:r>
    </w:p>
    <w:p w14:paraId="5AB647D5" w14:textId="77777777" w:rsidR="007E5A96" w:rsidRDefault="006B0DF0" w:rsidP="007E5A96">
      <w:pPr>
        <w:pStyle w:val="ListParagraph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>Conocimientos de toda la normativa legal y presupuestaria vigente en el país</w:t>
      </w:r>
    </w:p>
    <w:p w14:paraId="251A9EC2" w14:textId="77777777" w:rsidR="007E5A96" w:rsidRDefault="006B0DF0" w:rsidP="007E5A96">
      <w:pPr>
        <w:pStyle w:val="ListParagraph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>Conocimiento de los sistemas financieros SIAF vigentes</w:t>
      </w:r>
    </w:p>
    <w:p w14:paraId="463F0B40" w14:textId="77777777" w:rsidR="007E5A96" w:rsidRPr="007E5A96" w:rsidRDefault="00A51941" w:rsidP="007E5A96">
      <w:pPr>
        <w:pStyle w:val="ListParagraph"/>
        <w:numPr>
          <w:ilvl w:val="0"/>
          <w:numId w:val="5"/>
        </w:numPr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b/>
          <w:bCs/>
        </w:rPr>
        <w:t>Informes de Ejecución Presupuestaria</w:t>
      </w:r>
    </w:p>
    <w:p w14:paraId="43151199" w14:textId="77777777" w:rsidR="007E5A96" w:rsidRPr="007E5A96" w:rsidRDefault="00A51941" w:rsidP="007E5A96">
      <w:pPr>
        <w:pStyle w:val="ListParagraph"/>
        <w:numPr>
          <w:ilvl w:val="1"/>
          <w:numId w:val="5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</w:rPr>
        <w:t xml:space="preserve">La DAFIM deberá preparar y presentar al Concejo Municipal a través del Alcalde según lo establece el Artículo 135 del Código Municipal, informes cuatrimestrales de la ejecución presupuestaria de ingresos y egresos, que incluyan las partidas asignadas inicialmente en el presupuesto, las modificaciones presupuestarias autorizadas, el presupuesto vigente, los recursos devengados y percibidos, las alzas e ingresos por ejecutar, los gastos comprometidos, devengados y pagados, saldo disponible, saldo por devengar y saldo por pagar, así como los pagos extrapresupuestarios. </w:t>
      </w:r>
    </w:p>
    <w:p w14:paraId="0F605C11" w14:textId="77777777" w:rsidR="007E5A96" w:rsidRPr="007E5A96" w:rsidRDefault="00280C7A" w:rsidP="00280C7A">
      <w:pPr>
        <w:pStyle w:val="ListParagraph"/>
        <w:numPr>
          <w:ilvl w:val="0"/>
          <w:numId w:val="5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b/>
          <w:bCs/>
          <w:sz w:val="24"/>
          <w:szCs w:val="24"/>
        </w:rPr>
        <w:t>Evaluación de la Ejecución Presupuestaria</w:t>
      </w:r>
    </w:p>
    <w:p w14:paraId="3232699E" w14:textId="0CC8D357" w:rsidR="00280C7A" w:rsidRPr="007E5A96" w:rsidRDefault="00280C7A" w:rsidP="007E5A96">
      <w:pPr>
        <w:pStyle w:val="ListParagraph"/>
        <w:numPr>
          <w:ilvl w:val="1"/>
          <w:numId w:val="5"/>
        </w:numPr>
        <w:jc w:val="both"/>
        <w:rPr>
          <w:rFonts w:ascii="Century Gothic" w:eastAsia="Century Gothic" w:hAnsi="Century Gothic" w:cs="Century Gothic"/>
          <w:sz w:val="24"/>
          <w:szCs w:val="24"/>
        </w:rPr>
      </w:pPr>
      <w:r w:rsidRPr="007E5A96">
        <w:rPr>
          <w:rFonts w:ascii="Century Gothic" w:eastAsia="Century Gothic" w:hAnsi="Century Gothic" w:cs="Century Gothic"/>
          <w:sz w:val="24"/>
          <w:szCs w:val="24"/>
        </w:rPr>
        <w:t xml:space="preserve">La DAFIM a través del Área de Presupuesto, debe realizar periódicamente la evaluación interna del presupuesto durante su ejecución y al cierre del ejercicio fiscal, la cual comprende la medición de los resultados con base a los registros de las transacciones y la ejecución física y financiera de los programas; así como realizar el análisis de las variaciones observadas, determinar las causas y proponer medidas correctivas que mejoren la capacidad de ejecución durante el ejercicio fiscal y/o un próximo presupuesto y presentarla a la Autoridad Superior a través de la Autoridad Administrativa Superior. </w:t>
      </w:r>
    </w:p>
    <w:p w14:paraId="5A565F27" w14:textId="77777777" w:rsidR="00280C7A" w:rsidRDefault="00280C7A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61D10187" w14:textId="77777777" w:rsidR="00280C7A" w:rsidRDefault="00280C7A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3974B79A" w14:textId="77777777" w:rsidR="00280C7A" w:rsidRDefault="00280C7A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4A84FBE8" w14:textId="77777777" w:rsidR="00280C7A" w:rsidRDefault="00280C7A" w:rsidP="00280C7A">
      <w:pPr>
        <w:jc w:val="both"/>
        <w:rPr>
          <w:rFonts w:ascii="Century Gothic" w:eastAsia="Century Gothic" w:hAnsi="Century Gothic" w:cs="Century Gothic"/>
          <w:sz w:val="24"/>
          <w:szCs w:val="24"/>
        </w:rPr>
      </w:pPr>
    </w:p>
    <w:p w14:paraId="568210F9" w14:textId="7A265824" w:rsidR="0084707A" w:rsidRDefault="007E5A96" w:rsidP="00280C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Narrativa</w:t>
      </w:r>
    </w:p>
    <w:tbl>
      <w:tblPr>
        <w:tblStyle w:val="a0"/>
        <w:tblW w:w="1346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271"/>
        <w:gridCol w:w="8647"/>
        <w:gridCol w:w="3544"/>
      </w:tblGrid>
      <w:tr w:rsidR="0084707A" w14:paraId="38652BA3" w14:textId="77777777" w:rsidTr="007E5A96">
        <w:tc>
          <w:tcPr>
            <w:tcW w:w="1271" w:type="dxa"/>
            <w:shd w:val="clear" w:color="auto" w:fill="92D050"/>
          </w:tcPr>
          <w:p w14:paraId="56D1F905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504B297B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Actividad</w:t>
            </w:r>
          </w:p>
        </w:tc>
        <w:tc>
          <w:tcPr>
            <w:tcW w:w="3544" w:type="dxa"/>
            <w:shd w:val="clear" w:color="auto" w:fill="92D050"/>
          </w:tcPr>
          <w:p w14:paraId="6E832667" w14:textId="77777777" w:rsidR="0084707A" w:rsidRDefault="006B0DF0">
            <w:pPr>
              <w:jc w:val="center"/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b/>
                <w:sz w:val="24"/>
                <w:szCs w:val="24"/>
              </w:rPr>
              <w:t>Responsable</w:t>
            </w:r>
          </w:p>
        </w:tc>
      </w:tr>
      <w:tr w:rsidR="00280C7A" w14:paraId="0C545A9D" w14:textId="77777777" w:rsidTr="007E5A96">
        <w:trPr>
          <w:trHeight w:val="642"/>
        </w:trPr>
        <w:tc>
          <w:tcPr>
            <w:tcW w:w="1271" w:type="dxa"/>
            <w:vAlign w:val="center"/>
          </w:tcPr>
          <w:p w14:paraId="1C47ED8D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0E70EBD4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</w:t>
            </w:r>
          </w:p>
        </w:tc>
        <w:tc>
          <w:tcPr>
            <w:tcW w:w="8647" w:type="dxa"/>
          </w:tcPr>
          <w:p w14:paraId="1D13E0EF" w14:textId="04595D17" w:rsidR="00280C7A" w:rsidRDefault="00280C7A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Genera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reporte de ejecución presupuestaria de ingresos y ejecución presupuestaria de egresos, correspondiente al cuatrimestre respectivo y del ejercicio fiscal vigente</w:t>
            </w:r>
          </w:p>
        </w:tc>
        <w:tc>
          <w:tcPr>
            <w:tcW w:w="3544" w:type="dxa"/>
          </w:tcPr>
          <w:p w14:paraId="542AE307" w14:textId="1DA343FB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80C7A" w14:paraId="223CA906" w14:textId="77777777" w:rsidTr="007E5A96">
        <w:tc>
          <w:tcPr>
            <w:tcW w:w="1271" w:type="dxa"/>
            <w:vAlign w:val="center"/>
          </w:tcPr>
          <w:p w14:paraId="45C642A2" w14:textId="09AB10CA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2</w:t>
            </w:r>
          </w:p>
        </w:tc>
        <w:tc>
          <w:tcPr>
            <w:tcW w:w="8647" w:type="dxa"/>
          </w:tcPr>
          <w:p w14:paraId="61F71D50" w14:textId="7354ECBB" w:rsidR="00280C7A" w:rsidRDefault="00280C7A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Analiza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ambos reportes y determina </w:t>
            </w:r>
            <w:r w:rsidR="00D63F33">
              <w:rPr>
                <w:rFonts w:ascii="Century Gothic" w:eastAsia="Century Gothic" w:hAnsi="Century Gothic" w:cs="Century Gothic"/>
              </w:rPr>
              <w:t>el Saldo de Caja del año anterior</w:t>
            </w:r>
          </w:p>
        </w:tc>
        <w:tc>
          <w:tcPr>
            <w:tcW w:w="3544" w:type="dxa"/>
          </w:tcPr>
          <w:p w14:paraId="602C6572" w14:textId="6051D4BE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80C7A" w14:paraId="7F0DA734" w14:textId="77777777" w:rsidTr="007E5A96">
        <w:tc>
          <w:tcPr>
            <w:tcW w:w="1271" w:type="dxa"/>
            <w:vAlign w:val="center"/>
          </w:tcPr>
          <w:p w14:paraId="2ED2F80B" w14:textId="49D47412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3</w:t>
            </w:r>
          </w:p>
        </w:tc>
        <w:tc>
          <w:tcPr>
            <w:tcW w:w="8647" w:type="dxa"/>
          </w:tcPr>
          <w:p w14:paraId="6E82985B" w14:textId="3493661B" w:rsidR="00280C7A" w:rsidRDefault="00280C7A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Establece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</w:t>
            </w:r>
            <w:r w:rsidR="00D63F33">
              <w:rPr>
                <w:rFonts w:ascii="Century Gothic" w:eastAsia="Century Gothic" w:hAnsi="Century Gothic" w:cs="Century Gothic"/>
              </w:rPr>
              <w:t xml:space="preserve">las diferencias entre los programado y lo percibido en el </w:t>
            </w:r>
            <w:r w:rsidR="00973B2A">
              <w:rPr>
                <w:rFonts w:ascii="Century Gothic" w:eastAsia="Century Gothic" w:hAnsi="Century Gothic" w:cs="Century Gothic"/>
              </w:rPr>
              <w:t>área</w:t>
            </w:r>
            <w:r w:rsidR="00D63F33">
              <w:rPr>
                <w:rFonts w:ascii="Century Gothic" w:eastAsia="Century Gothic" w:hAnsi="Century Gothic" w:cs="Century Gothic"/>
              </w:rPr>
              <w:t xml:space="preserve"> de ingresos para determinar el cumplimiento de metas de recaudación y proponer las mejoras que se consideren</w:t>
            </w:r>
            <w:r>
              <w:rPr>
                <w:rFonts w:ascii="Century Gothic" w:eastAsia="Century Gothic" w:hAnsi="Century Gothic" w:cs="Century Gothic"/>
              </w:rPr>
              <w:t xml:space="preserve"> </w:t>
            </w:r>
          </w:p>
        </w:tc>
        <w:tc>
          <w:tcPr>
            <w:tcW w:w="3544" w:type="dxa"/>
          </w:tcPr>
          <w:p w14:paraId="231BDD83" w14:textId="328F0721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80C7A" w14:paraId="1F6FF8F6" w14:textId="77777777" w:rsidTr="007E5A96">
        <w:tc>
          <w:tcPr>
            <w:tcW w:w="1271" w:type="dxa"/>
            <w:vAlign w:val="center"/>
          </w:tcPr>
          <w:p w14:paraId="47523329" w14:textId="25AEB908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4</w:t>
            </w:r>
          </w:p>
        </w:tc>
        <w:tc>
          <w:tcPr>
            <w:tcW w:w="8647" w:type="dxa"/>
          </w:tcPr>
          <w:p w14:paraId="37817447" w14:textId="620EBE52" w:rsidR="00280C7A" w:rsidRDefault="008776CE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Determina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los saldos de morosidad en las cuentas corrientes municipales (IUSI, Agua y Arbitrios)</w:t>
            </w:r>
          </w:p>
        </w:tc>
        <w:tc>
          <w:tcPr>
            <w:tcW w:w="3544" w:type="dxa"/>
          </w:tcPr>
          <w:p w14:paraId="69BA819A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7C568D19" w14:textId="278D1064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80C7A" w14:paraId="3AC7D921" w14:textId="77777777" w:rsidTr="007E5A96">
        <w:tc>
          <w:tcPr>
            <w:tcW w:w="1271" w:type="dxa"/>
            <w:vAlign w:val="center"/>
          </w:tcPr>
          <w:p w14:paraId="1B24EF10" w14:textId="172BC0FA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5</w:t>
            </w:r>
          </w:p>
        </w:tc>
        <w:tc>
          <w:tcPr>
            <w:tcW w:w="8647" w:type="dxa"/>
          </w:tcPr>
          <w:p w14:paraId="72F3EADD" w14:textId="6AA847D2" w:rsidR="00280C7A" w:rsidRDefault="008776CE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Establece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la ejecución presupuestaria de egresos por programa en general y luego en detalle por actividades centrales y partidas no asignables a programas, por detalle de proyectos que NO forman capital y por detalle de proyectos que forman capital fijo</w:t>
            </w:r>
          </w:p>
        </w:tc>
        <w:tc>
          <w:tcPr>
            <w:tcW w:w="3544" w:type="dxa"/>
          </w:tcPr>
          <w:p w14:paraId="6A26503C" w14:textId="77777777" w:rsidR="008776CE" w:rsidRDefault="008776CE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</w:p>
          <w:p w14:paraId="12860704" w14:textId="030822A9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80C7A" w14:paraId="3429CFE8" w14:textId="77777777" w:rsidTr="007E5A96">
        <w:tc>
          <w:tcPr>
            <w:tcW w:w="1271" w:type="dxa"/>
            <w:vAlign w:val="center"/>
          </w:tcPr>
          <w:p w14:paraId="1FE19511" w14:textId="17280512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6</w:t>
            </w:r>
          </w:p>
        </w:tc>
        <w:tc>
          <w:tcPr>
            <w:tcW w:w="8647" w:type="dxa"/>
          </w:tcPr>
          <w:p w14:paraId="2C206AFE" w14:textId="54D8430A" w:rsidR="00280C7A" w:rsidRDefault="008776CE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con base a los reportes, datos y análisis de la información, el “Informe sobre la Ejecución del Presupuesto Municipal” y por medio de un oficio escrito lo traslada a Alcaldía Municipal </w:t>
            </w:r>
          </w:p>
        </w:tc>
        <w:tc>
          <w:tcPr>
            <w:tcW w:w="3544" w:type="dxa"/>
          </w:tcPr>
          <w:p w14:paraId="72B5667D" w14:textId="759C611B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 xml:space="preserve">Director de Administración Financiera Integrada Municipal </w:t>
            </w:r>
          </w:p>
        </w:tc>
      </w:tr>
      <w:tr w:rsidR="00280C7A" w14:paraId="0B54F08D" w14:textId="77777777" w:rsidTr="007E5A96">
        <w:tc>
          <w:tcPr>
            <w:tcW w:w="1271" w:type="dxa"/>
            <w:vAlign w:val="center"/>
          </w:tcPr>
          <w:p w14:paraId="2F33EB1E" w14:textId="75574F3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7</w:t>
            </w:r>
          </w:p>
        </w:tc>
        <w:tc>
          <w:tcPr>
            <w:tcW w:w="8647" w:type="dxa"/>
          </w:tcPr>
          <w:p w14:paraId="75CFB57D" w14:textId="7FC1E2E7" w:rsidR="00280C7A" w:rsidRDefault="008776CE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Revisa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y apr</w:t>
            </w:r>
            <w:r w:rsidR="00973B2A">
              <w:rPr>
                <w:rFonts w:ascii="Century Gothic" w:eastAsia="Century Gothic" w:hAnsi="Century Gothic" w:cs="Century Gothic"/>
              </w:rPr>
              <w:t>o</w:t>
            </w:r>
            <w:r>
              <w:rPr>
                <w:rFonts w:ascii="Century Gothic" w:eastAsia="Century Gothic" w:hAnsi="Century Gothic" w:cs="Century Gothic"/>
              </w:rPr>
              <w:t>ba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informe, </w:t>
            </w:r>
            <w:r w:rsidR="00973B2A">
              <w:rPr>
                <w:rFonts w:ascii="Century Gothic" w:eastAsia="Century Gothic" w:hAnsi="Century Gothic" w:cs="Century Gothic"/>
              </w:rPr>
              <w:t>trasladándolo</w:t>
            </w:r>
            <w:r>
              <w:rPr>
                <w:rFonts w:ascii="Century Gothic" w:eastAsia="Century Gothic" w:hAnsi="Century Gothic" w:cs="Century Gothic"/>
              </w:rPr>
              <w:t xml:space="preserve"> al Concejo Municipal para su conocimiento, solicitando la participación del Director Financiero para exponer el informe ante el Concejo Municipal</w:t>
            </w:r>
          </w:p>
        </w:tc>
        <w:tc>
          <w:tcPr>
            <w:tcW w:w="3544" w:type="dxa"/>
          </w:tcPr>
          <w:p w14:paraId="3C726336" w14:textId="50C7F46A" w:rsidR="00280C7A" w:rsidRDefault="008776CE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Alcalde Municipal</w:t>
            </w:r>
          </w:p>
        </w:tc>
      </w:tr>
      <w:tr w:rsidR="00280C7A" w14:paraId="70C30E12" w14:textId="77777777" w:rsidTr="007E5A96">
        <w:tc>
          <w:tcPr>
            <w:tcW w:w="1271" w:type="dxa"/>
            <w:vAlign w:val="center"/>
          </w:tcPr>
          <w:p w14:paraId="4319D2EB" w14:textId="56C3E138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8</w:t>
            </w:r>
          </w:p>
        </w:tc>
        <w:tc>
          <w:tcPr>
            <w:tcW w:w="8647" w:type="dxa"/>
          </w:tcPr>
          <w:p w14:paraId="50BD60D4" w14:textId="453B83C6" w:rsidR="00280C7A" w:rsidRDefault="008776CE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Conoce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y Apr</w:t>
            </w:r>
            <w:r w:rsidR="00973B2A">
              <w:rPr>
                <w:rFonts w:ascii="Century Gothic" w:eastAsia="Century Gothic" w:hAnsi="Century Gothic" w:cs="Century Gothic"/>
              </w:rPr>
              <w:t>o</w:t>
            </w:r>
            <w:r>
              <w:rPr>
                <w:rFonts w:ascii="Century Gothic" w:eastAsia="Century Gothic" w:hAnsi="Century Gothic" w:cs="Century Gothic"/>
              </w:rPr>
              <w:t>ba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“Informe sobre la Ejecución del Presupuesto Municipal” </w:t>
            </w:r>
          </w:p>
        </w:tc>
        <w:tc>
          <w:tcPr>
            <w:tcW w:w="3544" w:type="dxa"/>
          </w:tcPr>
          <w:p w14:paraId="0C388E98" w14:textId="741F723D" w:rsidR="00280C7A" w:rsidRDefault="008776CE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Concejo Municipal</w:t>
            </w:r>
          </w:p>
        </w:tc>
      </w:tr>
      <w:tr w:rsidR="00280C7A" w14:paraId="6F074F43" w14:textId="77777777" w:rsidTr="007E5A96">
        <w:tc>
          <w:tcPr>
            <w:tcW w:w="1271" w:type="dxa"/>
            <w:vAlign w:val="center"/>
          </w:tcPr>
          <w:p w14:paraId="09F66B12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lastRenderedPageBreak/>
              <w:t>9</w:t>
            </w:r>
          </w:p>
        </w:tc>
        <w:tc>
          <w:tcPr>
            <w:tcW w:w="8647" w:type="dxa"/>
          </w:tcPr>
          <w:p w14:paraId="4D764637" w14:textId="68311BD8" w:rsidR="00280C7A" w:rsidRDefault="008776CE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Certifica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el Acuerdo Municipal de aprobación del informe y lo notifica a las partes interesadas</w:t>
            </w:r>
          </w:p>
        </w:tc>
        <w:tc>
          <w:tcPr>
            <w:tcW w:w="3544" w:type="dxa"/>
          </w:tcPr>
          <w:p w14:paraId="4D707A0E" w14:textId="7E2D76AD" w:rsidR="00280C7A" w:rsidRDefault="008776CE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Secretaría Municipal</w:t>
            </w:r>
          </w:p>
        </w:tc>
      </w:tr>
      <w:tr w:rsidR="00280C7A" w14:paraId="10D3081C" w14:textId="77777777" w:rsidTr="007E5A96">
        <w:tc>
          <w:tcPr>
            <w:tcW w:w="1271" w:type="dxa"/>
            <w:vAlign w:val="center"/>
          </w:tcPr>
          <w:p w14:paraId="0678B7ED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10</w:t>
            </w:r>
          </w:p>
        </w:tc>
        <w:tc>
          <w:tcPr>
            <w:tcW w:w="8647" w:type="dxa"/>
          </w:tcPr>
          <w:p w14:paraId="6034B8DE" w14:textId="41C17EA0" w:rsidR="00280C7A" w:rsidRDefault="008776CE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Recib</w:t>
            </w:r>
            <w:r w:rsidR="00973B2A">
              <w:rPr>
                <w:rFonts w:ascii="Century Gothic" w:eastAsia="Century Gothic" w:hAnsi="Century Gothic" w:cs="Century Gothic"/>
              </w:rPr>
              <w:t>ir</w:t>
            </w:r>
            <w:r>
              <w:rPr>
                <w:rFonts w:ascii="Century Gothic" w:eastAsia="Century Gothic" w:hAnsi="Century Gothic" w:cs="Century Gothic"/>
              </w:rPr>
              <w:t xml:space="preserve"> la certificación del Acuerdo Municipal de aprobación del informe</w:t>
            </w:r>
          </w:p>
        </w:tc>
        <w:tc>
          <w:tcPr>
            <w:tcW w:w="3544" w:type="dxa"/>
          </w:tcPr>
          <w:p w14:paraId="61A4F836" w14:textId="0E66884D" w:rsidR="00280C7A" w:rsidRDefault="006F4357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80C7A" w14:paraId="2F3DF5BA" w14:textId="77777777" w:rsidTr="007E5A96">
        <w:tc>
          <w:tcPr>
            <w:tcW w:w="1271" w:type="dxa"/>
            <w:vAlign w:val="center"/>
          </w:tcPr>
          <w:p w14:paraId="0AEAE182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11</w:t>
            </w:r>
          </w:p>
        </w:tc>
        <w:tc>
          <w:tcPr>
            <w:tcW w:w="8647" w:type="dxa"/>
          </w:tcPr>
          <w:p w14:paraId="6FD9E8B4" w14:textId="37238B34" w:rsidR="00280C7A" w:rsidRDefault="006F4357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Informa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a los respectivos entes rectores de la ejecución presupuestaria cuatrimestral por medio del Sistema de Rendición de Cuentas de los Gobiernos Locales de la CGC</w:t>
            </w:r>
          </w:p>
        </w:tc>
        <w:tc>
          <w:tcPr>
            <w:tcW w:w="3544" w:type="dxa"/>
          </w:tcPr>
          <w:p w14:paraId="15C12F3D" w14:textId="462B9894" w:rsidR="00280C7A" w:rsidRDefault="006F4357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  <w:tr w:rsidR="00280C7A" w14:paraId="392CF9F4" w14:textId="77777777" w:rsidTr="007E5A96">
        <w:tc>
          <w:tcPr>
            <w:tcW w:w="1271" w:type="dxa"/>
            <w:vAlign w:val="center"/>
          </w:tcPr>
          <w:p w14:paraId="7708ADBE" w14:textId="77777777" w:rsidR="00280C7A" w:rsidRDefault="00280C7A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12</w:t>
            </w:r>
          </w:p>
        </w:tc>
        <w:tc>
          <w:tcPr>
            <w:tcW w:w="8647" w:type="dxa"/>
          </w:tcPr>
          <w:p w14:paraId="22FE55AD" w14:textId="69A023E1" w:rsidR="00280C7A" w:rsidRDefault="006F4357" w:rsidP="00280C7A">
            <w:pPr>
              <w:jc w:val="both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Elabora</w:t>
            </w:r>
            <w:r w:rsidR="00973B2A">
              <w:rPr>
                <w:rFonts w:ascii="Century Gothic" w:eastAsia="Century Gothic" w:hAnsi="Century Gothic" w:cs="Century Gothic"/>
              </w:rPr>
              <w:t>r</w:t>
            </w:r>
            <w:r>
              <w:rPr>
                <w:rFonts w:ascii="Century Gothic" w:eastAsia="Century Gothic" w:hAnsi="Century Gothic" w:cs="Century Gothic"/>
              </w:rPr>
              <w:t xml:space="preserve"> la presentación de datos ante el COMUDE correspondiente</w:t>
            </w:r>
          </w:p>
        </w:tc>
        <w:tc>
          <w:tcPr>
            <w:tcW w:w="3544" w:type="dxa"/>
          </w:tcPr>
          <w:p w14:paraId="5E27D541" w14:textId="47A8A906" w:rsidR="00280C7A" w:rsidRDefault="006F4357" w:rsidP="00280C7A">
            <w:pPr>
              <w:jc w:val="center"/>
              <w:rPr>
                <w:rFonts w:ascii="Century Gothic" w:eastAsia="Century Gothic" w:hAnsi="Century Gothic" w:cs="Century Gothic"/>
              </w:rPr>
            </w:pPr>
            <w:r>
              <w:rPr>
                <w:rFonts w:ascii="Century Gothic" w:eastAsia="Century Gothic" w:hAnsi="Century Gothic" w:cs="Century Gothic"/>
              </w:rPr>
              <w:t>Director de Administración Financiera Integrada Municipal</w:t>
            </w:r>
          </w:p>
        </w:tc>
      </w:tr>
    </w:tbl>
    <w:p w14:paraId="358085E2" w14:textId="77777777" w:rsidR="0084707A" w:rsidRDefault="0084707A">
      <w:pPr>
        <w:jc w:val="center"/>
        <w:rPr>
          <w:rFonts w:ascii="Century Gothic" w:eastAsia="Century Gothic" w:hAnsi="Century Gothic" w:cs="Century Gothic"/>
          <w:sz w:val="36"/>
          <w:szCs w:val="36"/>
        </w:rPr>
      </w:pPr>
    </w:p>
    <w:p w14:paraId="52876456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F210A0A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18AF076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6A3795A3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717485F3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1E439F29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233DA051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E3C14A7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31F0FA40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017AD221" w14:textId="77777777" w:rsidR="0084707A" w:rsidRDefault="0084707A">
      <w:pPr>
        <w:rPr>
          <w:rFonts w:ascii="Century Gothic" w:eastAsia="Century Gothic" w:hAnsi="Century Gothic" w:cs="Century Gothic"/>
          <w:b/>
          <w:sz w:val="20"/>
          <w:szCs w:val="20"/>
        </w:rPr>
      </w:pPr>
    </w:p>
    <w:p w14:paraId="5FDBE1D3" w14:textId="39B2CB2C" w:rsidR="0084707A" w:rsidRDefault="006B0DF0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rFonts w:ascii="Century Gothic" w:eastAsia="Century Gothic" w:hAnsi="Century Gothic" w:cs="Century Gothic"/>
          <w:b/>
          <w:sz w:val="36"/>
          <w:szCs w:val="36"/>
        </w:rPr>
        <w:lastRenderedPageBreak/>
        <w:t>Diagram</w:t>
      </w:r>
      <w:r w:rsidR="007E5A96">
        <w:rPr>
          <w:rFonts w:ascii="Century Gothic" w:eastAsia="Century Gothic" w:hAnsi="Century Gothic" w:cs="Century Gothic"/>
          <w:b/>
          <w:sz w:val="36"/>
          <w:szCs w:val="36"/>
        </w:rPr>
        <w:t>a</w:t>
      </w:r>
    </w:p>
    <w:p w14:paraId="10082FAD" w14:textId="5710DBEA" w:rsidR="0084707A" w:rsidRDefault="00973B2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>
        <w:rPr>
          <w:noProof/>
        </w:rPr>
        <w:drawing>
          <wp:inline distT="0" distB="0" distL="0" distR="0" wp14:anchorId="3CD18F21" wp14:editId="43C21D88">
            <wp:extent cx="8080513" cy="4452620"/>
            <wp:effectExtent l="0" t="0" r="0" b="5080"/>
            <wp:docPr id="1153011965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3011965" name="Picture 1" descr="A diagram of a work flow&#10;&#10;AI-generated content may be incorrect."/>
                    <pic:cNvPicPr/>
                  </pic:nvPicPr>
                  <pic:blipFill rotWithShape="1">
                    <a:blip r:embed="rId10"/>
                    <a:srcRect l="1787" t="1588" r="1522" b="1149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05030" cy="44661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0806E0" w14:textId="77777777" w:rsidR="00A43719" w:rsidRPr="00A43719" w:rsidRDefault="00A43719" w:rsidP="00A43719">
      <w:pPr>
        <w:jc w:val="center"/>
        <w:rPr>
          <w:rFonts w:ascii="Century Gothic" w:eastAsia="Century Gothic" w:hAnsi="Century Gothic" w:cs="Century Gothic"/>
          <w:b/>
          <w:bCs/>
          <w:sz w:val="36"/>
          <w:szCs w:val="36"/>
        </w:rPr>
      </w:pPr>
      <w:bookmarkStart w:id="0" w:name="_Hlk196327785"/>
      <w:r w:rsidRPr="00A43719">
        <w:rPr>
          <w:rFonts w:ascii="Century Gothic" w:eastAsia="Century Gothic" w:hAnsi="Century Gothic" w:cs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A43719" w:rsidRPr="00A43719" w14:paraId="14EB0598" w14:textId="77777777">
        <w:trPr>
          <w:trHeight w:val="470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8FC80DC" w14:textId="77777777" w:rsidR="00A43719" w:rsidRPr="00A43719" w:rsidRDefault="00A43719" w:rsidP="00A43719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</w:pPr>
            <w:r w:rsidRPr="00A43719"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9E86EAE" w14:textId="77777777" w:rsidR="00A43719" w:rsidRPr="00A43719" w:rsidRDefault="00A43719" w:rsidP="00A43719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</w:pPr>
            <w:r w:rsidRPr="00A43719">
              <w:rPr>
                <w:rFonts w:ascii="Century Gothic" w:eastAsia="Century Gothic" w:hAnsi="Century Gothic" w:cs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A43719" w:rsidRPr="00A43719" w14:paraId="70494054" w14:textId="77777777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425FC7" w14:textId="16E8DB32" w:rsidR="00A43719" w:rsidRPr="00A43719" w:rsidRDefault="00A43719" w:rsidP="00A43719">
            <w:pPr>
              <w:spacing w:after="160" w:line="259" w:lineRule="auto"/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 w:rsidRPr="00A43719">
              <w:rPr>
                <w:rFonts w:ascii="Century Gothic" w:eastAsia="Century Gothic" w:hAnsi="Century Gothic" w:cs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611AAD" w14:textId="1A09C4C4" w:rsidR="00A43719" w:rsidRPr="00A43719" w:rsidRDefault="00A43719" w:rsidP="00A43719">
            <w:pPr>
              <w:spacing w:after="160" w:line="259" w:lineRule="auto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 w:rsidRPr="00A43719"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>Solicitud de Transferencia</w:t>
            </w:r>
          </w:p>
        </w:tc>
        <w:bookmarkEnd w:id="0"/>
      </w:tr>
      <w:tr w:rsidR="00A43719" w:rsidRPr="00A43719" w14:paraId="6B8EAAB0" w14:textId="77777777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A3D1501" w14:textId="5B371420" w:rsidR="00A43719" w:rsidRPr="00A43719" w:rsidRDefault="00A43719" w:rsidP="00A43719">
            <w:pPr>
              <w:jc w:val="center"/>
              <w:rPr>
                <w:rFonts w:ascii="Century Gothic" w:eastAsia="Century Gothic" w:hAnsi="Century Gothic" w:cs="Century Gothic"/>
                <w:sz w:val="24"/>
                <w:szCs w:val="24"/>
              </w:rPr>
            </w:pPr>
            <w:r>
              <w:rPr>
                <w:rFonts w:ascii="Century Gothic" w:eastAsia="Century Gothic" w:hAnsi="Century Gothic" w:cs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5BA9D2" w14:textId="4A87337A" w:rsidR="00A43719" w:rsidRPr="00A43719" w:rsidRDefault="00A43719" w:rsidP="00A43719">
            <w:pPr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</w:pPr>
            <w:r w:rsidRPr="00A43719">
              <w:rPr>
                <w:rFonts w:ascii="Century Gothic" w:eastAsia="Century Gothic" w:hAnsi="Century Gothic" w:cs="Century Gothic"/>
                <w:bCs/>
                <w:sz w:val="24"/>
                <w:szCs w:val="24"/>
              </w:rPr>
              <w:t>Cuadro de cálculos</w:t>
            </w:r>
          </w:p>
        </w:tc>
      </w:tr>
    </w:tbl>
    <w:p w14:paraId="6457DBF6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199E683A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4389F283" w14:textId="77777777" w:rsidR="007E5A96" w:rsidRDefault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77DC39B" w14:textId="77777777" w:rsidR="007E5A96" w:rsidRDefault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731A121" w14:textId="77777777" w:rsidR="007E5A96" w:rsidRDefault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A6F2329" w14:textId="77777777" w:rsidR="007E5A96" w:rsidRDefault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9BAEE90" w14:textId="77777777" w:rsidR="007E5A96" w:rsidRDefault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7A05DA7" w14:textId="77777777" w:rsidR="007E5A96" w:rsidRDefault="007E5A96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D113636" w14:textId="77777777" w:rsidR="0084707A" w:rsidRDefault="0084707A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22403A2" w14:textId="1AF2FCD2" w:rsidR="00A43719" w:rsidRPr="00A43719" w:rsidRDefault="00A43719" w:rsidP="00A43719">
      <w:pPr>
        <w:rPr>
          <w:rFonts w:ascii="Century Gothic" w:eastAsia="Century Gothic" w:hAnsi="Century Gothic" w:cs="Century Gothic"/>
          <w:bCs/>
          <w:sz w:val="36"/>
          <w:szCs w:val="36"/>
        </w:rPr>
      </w:pPr>
      <w:r w:rsidRPr="00A43719">
        <w:rPr>
          <w:rFonts w:ascii="Century Gothic" w:eastAsia="Century Gothic" w:hAnsi="Century Gothic" w:cs="Century Gothic"/>
          <w:bCs/>
          <w:sz w:val="36"/>
          <w:szCs w:val="36"/>
        </w:rPr>
        <w:lastRenderedPageBreak/>
        <w:t>Anexo 1 Solicitud de Transferencia</w:t>
      </w:r>
    </w:p>
    <w:p w14:paraId="2B6E5826" w14:textId="0334D4A8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60311F2" w14:textId="1CCEDCB8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  <w:r w:rsidRPr="006B0DF0">
        <w:rPr>
          <w:rFonts w:ascii="Century Gothic" w:eastAsia="Century Gothic" w:hAnsi="Century Gothic" w:cs="Century Gothic"/>
          <w:b/>
          <w:noProof/>
          <w:sz w:val="20"/>
          <w:szCs w:val="20"/>
        </w:rPr>
        <w:drawing>
          <wp:anchor distT="0" distB="0" distL="114300" distR="114300" simplePos="0" relativeHeight="251659264" behindDoc="1" locked="0" layoutInCell="1" allowOverlap="1" wp14:anchorId="7CB37ED6" wp14:editId="46F62E5A">
            <wp:simplePos x="0" y="0"/>
            <wp:positionH relativeFrom="page">
              <wp:align>center</wp:align>
            </wp:positionH>
            <wp:positionV relativeFrom="paragraph">
              <wp:posOffset>99888</wp:posOffset>
            </wp:positionV>
            <wp:extent cx="3362299" cy="4015408"/>
            <wp:effectExtent l="0" t="0" r="0" b="4445"/>
            <wp:wrapNone/>
            <wp:docPr id="1055129155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5129155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2299" cy="401540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p w14:paraId="53050B9C" w14:textId="77777777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764D5900" w14:textId="77777777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3D49AB29" w14:textId="77777777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9BFA822" w14:textId="77777777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8C5DE72" w14:textId="77777777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35531E4" w14:textId="77777777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6C2A8D84" w14:textId="77777777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E864958" w14:textId="77777777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236B0B73" w14:textId="77777777" w:rsidR="00A43719" w:rsidRDefault="00A43719">
      <w:pPr>
        <w:jc w:val="center"/>
        <w:rPr>
          <w:rFonts w:ascii="Century Gothic" w:eastAsia="Century Gothic" w:hAnsi="Century Gothic" w:cs="Century Gothic"/>
          <w:b/>
          <w:sz w:val="36"/>
          <w:szCs w:val="36"/>
        </w:rPr>
      </w:pPr>
    </w:p>
    <w:p w14:paraId="532BC45C" w14:textId="46857F10" w:rsidR="0084707A" w:rsidRPr="00A43719" w:rsidRDefault="001F43DD" w:rsidP="00A43719">
      <w:pPr>
        <w:rPr>
          <w:rFonts w:ascii="Century Gothic" w:eastAsia="Century Gothic" w:hAnsi="Century Gothic" w:cs="Century Gothic"/>
          <w:bCs/>
          <w:sz w:val="24"/>
          <w:szCs w:val="24"/>
        </w:rPr>
      </w:pPr>
      <w:r w:rsidRPr="00A43719">
        <w:rPr>
          <w:bCs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1" locked="0" layoutInCell="1" allowOverlap="1" wp14:anchorId="60F7F2FC" wp14:editId="17F041A9">
            <wp:simplePos x="0" y="0"/>
            <wp:positionH relativeFrom="page">
              <wp:posOffset>1291590</wp:posOffset>
            </wp:positionH>
            <wp:positionV relativeFrom="paragraph">
              <wp:posOffset>1007248</wp:posOffset>
            </wp:positionV>
            <wp:extent cx="7156174" cy="2683491"/>
            <wp:effectExtent l="0" t="0" r="6985" b="3175"/>
            <wp:wrapNone/>
            <wp:docPr id="471246570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6174" cy="2683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3719" w:rsidRPr="00A43719">
        <w:rPr>
          <w:rFonts w:ascii="Century Gothic" w:eastAsia="Century Gothic" w:hAnsi="Century Gothic" w:cs="Century Gothic"/>
          <w:bCs/>
          <w:sz w:val="24"/>
          <w:szCs w:val="24"/>
        </w:rPr>
        <w:t>Anexo 2 Cuadro de cálculos</w:t>
      </w:r>
    </w:p>
    <w:sectPr w:rsidR="0084707A" w:rsidRPr="00A43719">
      <w:headerReference w:type="default" r:id="rId13"/>
      <w:footerReference w:type="default" r:id="rId14"/>
      <w:footerReference w:type="first" r:id="rId15"/>
      <w:pgSz w:w="15840" w:h="12240" w:orient="landscape"/>
      <w:pgMar w:top="1440" w:right="1239" w:bottom="1440" w:left="851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9070B4F" w14:textId="77777777" w:rsidR="00EA3EF4" w:rsidRDefault="00EA3EF4">
      <w:pPr>
        <w:spacing w:after="0" w:line="240" w:lineRule="auto"/>
      </w:pPr>
      <w:r>
        <w:separator/>
      </w:r>
    </w:p>
  </w:endnote>
  <w:endnote w:type="continuationSeparator" w:id="0">
    <w:p w14:paraId="4D13A4F7" w14:textId="77777777" w:rsidR="00EA3EF4" w:rsidRDefault="00EA3E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4FA84C5F-477C-40E9-8B5C-D39D66B9E07E}"/>
    <w:embedBold r:id="rId2" w:fontKey="{61F418F2-3DC4-4525-AC49-9FC4CE788EFB}"/>
    <w:embedItalic r:id="rId3" w:fontKey="{0762A8C7-306C-4597-9162-D92324C63B35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107EFDF6-2AC3-4E59-9AA7-A380AFE2FDC6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890D109A-3984-481D-A101-47C9D4D9ACDC}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  <w:embedRegular r:id="rId6" w:fontKey="{10A93C8C-9C65-4424-9DA2-5F6FBFBF5A1B}"/>
    <w:embedBold r:id="rId7" w:fontKey="{3EEB35B4-C7F7-4BE0-96EB-D80E031A9C4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5A5995" w14:textId="77777777" w:rsidR="007E5A96" w:rsidRDefault="007E5A96" w:rsidP="007E5A96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t>8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7712CD85" w14:textId="77777777" w:rsidR="009F53AF" w:rsidRDefault="009F53AF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2A57C9" w14:textId="77777777" w:rsidR="0084707A" w:rsidRDefault="006B0DF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jc w:val="right"/>
      <w:rPr>
        <w:rFonts w:ascii="Century Gothic" w:eastAsia="Century Gothic" w:hAnsi="Century Gothic" w:cs="Century Gothic"/>
        <w:color w:val="000000"/>
      </w:rPr>
    </w:pPr>
    <w:r>
      <w:rPr>
        <w:rFonts w:ascii="Century Gothic" w:eastAsia="Century Gothic" w:hAnsi="Century Gothic" w:cs="Century Gothic"/>
        <w:color w:val="000000"/>
      </w:rPr>
      <w:t xml:space="preserve">Página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PAGE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1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  <w:r>
      <w:rPr>
        <w:rFonts w:ascii="Century Gothic" w:eastAsia="Century Gothic" w:hAnsi="Century Gothic" w:cs="Century Gothic"/>
        <w:color w:val="000000"/>
      </w:rPr>
      <w:t xml:space="preserve"> de 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begin"/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instrText>NUMPAGES</w:instrTex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separate"/>
    </w:r>
    <w:r w:rsidR="007C2340">
      <w:rPr>
        <w:rFonts w:ascii="Century Gothic" w:eastAsia="Century Gothic" w:hAnsi="Century Gothic" w:cs="Century Gothic"/>
        <w:b/>
        <w:noProof/>
        <w:color w:val="000000"/>
        <w:sz w:val="24"/>
        <w:szCs w:val="24"/>
      </w:rPr>
      <w:t>2</w:t>
    </w:r>
    <w:r>
      <w:rPr>
        <w:rFonts w:ascii="Century Gothic" w:eastAsia="Century Gothic" w:hAnsi="Century Gothic" w:cs="Century Gothic"/>
        <w:b/>
        <w:color w:val="000000"/>
        <w:sz w:val="24"/>
        <w:szCs w:val="24"/>
      </w:rPr>
      <w:fldChar w:fldCharType="end"/>
    </w:r>
  </w:p>
  <w:p w14:paraId="49768D7D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C4B5A29" w14:textId="77777777" w:rsidR="00EA3EF4" w:rsidRDefault="00EA3EF4">
      <w:pPr>
        <w:spacing w:after="0" w:line="240" w:lineRule="auto"/>
      </w:pPr>
      <w:r>
        <w:separator/>
      </w:r>
    </w:p>
  </w:footnote>
  <w:footnote w:type="continuationSeparator" w:id="0">
    <w:p w14:paraId="0594DD7A" w14:textId="77777777" w:rsidR="00EA3EF4" w:rsidRDefault="00EA3EF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BB3D72" w14:textId="77777777" w:rsidR="0084707A" w:rsidRDefault="0084707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rFonts w:ascii="Century Gothic" w:eastAsia="Century Gothic" w:hAnsi="Century Gothic" w:cs="Century Gothic"/>
        <w:b/>
        <w:sz w:val="20"/>
        <w:szCs w:val="20"/>
      </w:rPr>
    </w:pPr>
  </w:p>
  <w:tbl>
    <w:tblPr>
      <w:tblStyle w:val="a1"/>
      <w:tblW w:w="13591" w:type="dxa"/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Layout w:type="fixed"/>
      <w:tblLook w:val="0400" w:firstRow="0" w:lastRow="0" w:firstColumn="0" w:lastColumn="0" w:noHBand="0" w:noVBand="1"/>
    </w:tblPr>
    <w:tblGrid>
      <w:gridCol w:w="3220"/>
      <w:gridCol w:w="7468"/>
      <w:gridCol w:w="2903"/>
    </w:tblGrid>
    <w:tr w:rsidR="0084707A" w14:paraId="7A49DEF3" w14:textId="77777777">
      <w:trPr>
        <w:trHeight w:val="424"/>
      </w:trPr>
      <w:tc>
        <w:tcPr>
          <w:tcW w:w="3220" w:type="dxa"/>
          <w:vMerge w:val="restart"/>
        </w:tcPr>
        <w:p w14:paraId="50312AC2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EFF5DA9" wp14:editId="25B906F2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7" name="image2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2.png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09424758" w14:textId="6CD721E9" w:rsidR="0084707A" w:rsidRDefault="009F53A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</w:rPr>
            <w:t>Procedimiento Informe de Gestión y Ejecución Presupuestaria</w:t>
          </w:r>
        </w:p>
      </w:tc>
      <w:tc>
        <w:tcPr>
          <w:tcW w:w="2903" w:type="dxa"/>
          <w:vAlign w:val="center"/>
        </w:tcPr>
        <w:p w14:paraId="4EB7BFE7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Identificación:</w:t>
          </w:r>
        </w:p>
      </w:tc>
    </w:tr>
    <w:tr w:rsidR="0084707A" w14:paraId="66A2C565" w14:textId="77777777">
      <w:trPr>
        <w:trHeight w:val="423"/>
      </w:trPr>
      <w:tc>
        <w:tcPr>
          <w:tcW w:w="3220" w:type="dxa"/>
          <w:vMerge/>
        </w:tcPr>
        <w:p w14:paraId="7EFB0EE7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0077B33A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0B235C90" w14:textId="7D72C93B" w:rsidR="0084707A" w:rsidRDefault="009F53A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 w:rsidRPr="00037643">
            <w:rPr>
              <w:lang w:val="en-US"/>
            </w:rPr>
            <w:t>PR-MSL-DAFIM-</w:t>
          </w:r>
          <w:r>
            <w:rPr>
              <w:lang w:val="en-US"/>
            </w:rPr>
            <w:t>IGEP</w:t>
          </w:r>
          <w:r w:rsidRPr="00037643">
            <w:rPr>
              <w:lang w:val="en-US"/>
            </w:rPr>
            <w:t>-0</w:t>
          </w:r>
          <w:r>
            <w:rPr>
              <w:lang w:val="en-US"/>
            </w:rPr>
            <w:t>5</w:t>
          </w:r>
        </w:p>
      </w:tc>
    </w:tr>
    <w:tr w:rsidR="0084707A" w14:paraId="36CA5C66" w14:textId="77777777">
      <w:trPr>
        <w:trHeight w:val="424"/>
      </w:trPr>
      <w:tc>
        <w:tcPr>
          <w:tcW w:w="3220" w:type="dxa"/>
          <w:vMerge/>
        </w:tcPr>
        <w:p w14:paraId="0D7BAB2B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5C6248F7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41961C59" w14:textId="77777777" w:rsidR="0084707A" w:rsidRDefault="006B0DF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  <w:r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  <w:t>Versión</w:t>
          </w:r>
        </w:p>
      </w:tc>
    </w:tr>
    <w:tr w:rsidR="0084707A" w14:paraId="1601C8BB" w14:textId="77777777">
      <w:trPr>
        <w:trHeight w:val="423"/>
      </w:trPr>
      <w:tc>
        <w:tcPr>
          <w:tcW w:w="3220" w:type="dxa"/>
          <w:vMerge/>
        </w:tcPr>
        <w:p w14:paraId="0C477546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7468" w:type="dxa"/>
          <w:vMerge/>
          <w:vAlign w:val="center"/>
        </w:tcPr>
        <w:p w14:paraId="2C6AA518" w14:textId="77777777" w:rsidR="0084707A" w:rsidRDefault="0084707A">
          <w:pPr>
            <w:widowControl w:val="0"/>
            <w:pBdr>
              <w:top w:val="nil"/>
              <w:left w:val="nil"/>
              <w:bottom w:val="nil"/>
              <w:right w:val="nil"/>
              <w:between w:val="nil"/>
            </w:pBdr>
            <w:spacing w:line="276" w:lineRule="auto"/>
            <w:rPr>
              <w:rFonts w:ascii="Century Gothic" w:eastAsia="Century Gothic" w:hAnsi="Century Gothic" w:cs="Century Gothic"/>
              <w:color w:val="000000"/>
              <w:sz w:val="24"/>
              <w:szCs w:val="24"/>
            </w:rPr>
          </w:pPr>
        </w:p>
      </w:tc>
      <w:tc>
        <w:tcPr>
          <w:tcW w:w="2903" w:type="dxa"/>
          <w:vAlign w:val="center"/>
        </w:tcPr>
        <w:p w14:paraId="124C5912" w14:textId="6F736CA0" w:rsidR="0084707A" w:rsidRDefault="009F53AF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680"/>
              <w:tab w:val="right" w:pos="9360"/>
            </w:tabs>
            <w:jc w:val="center"/>
            <w:rPr>
              <w:rFonts w:ascii="Century Gothic" w:eastAsia="Century Gothic" w:hAnsi="Century Gothic" w:cs="Century Gothic"/>
              <w:color w:val="000000"/>
            </w:rPr>
          </w:pPr>
          <w:r>
            <w:rPr>
              <w:rFonts w:ascii="Century Gothic" w:eastAsia="Century Gothic" w:hAnsi="Century Gothic" w:cs="Century Gothic"/>
              <w:color w:val="000000"/>
            </w:rPr>
            <w:t>1</w:t>
          </w:r>
        </w:p>
      </w:tc>
    </w:tr>
  </w:tbl>
  <w:p w14:paraId="5D7E6275" w14:textId="77777777" w:rsidR="0084707A" w:rsidRDefault="0084707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F343557"/>
    <w:multiLevelType w:val="hybridMultilevel"/>
    <w:tmpl w:val="1208035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6F4259C"/>
    <w:multiLevelType w:val="hybridMultilevel"/>
    <w:tmpl w:val="00B2085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B3E7AE1"/>
    <w:multiLevelType w:val="multilevel"/>
    <w:tmpl w:val="A0FC85E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479042C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7B5365BD"/>
    <w:multiLevelType w:val="hybridMultilevel"/>
    <w:tmpl w:val="B7C0F4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11080777">
    <w:abstractNumId w:val="2"/>
  </w:num>
  <w:num w:numId="2" w16cid:durableId="1235357050">
    <w:abstractNumId w:val="3"/>
  </w:num>
  <w:num w:numId="3" w16cid:durableId="1500385301">
    <w:abstractNumId w:val="1"/>
  </w:num>
  <w:num w:numId="4" w16cid:durableId="646980506">
    <w:abstractNumId w:val="4"/>
  </w:num>
  <w:num w:numId="5" w16cid:durableId="9789990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4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4707A"/>
    <w:rsid w:val="00021A17"/>
    <w:rsid w:val="001F43DD"/>
    <w:rsid w:val="0020705B"/>
    <w:rsid w:val="00250832"/>
    <w:rsid w:val="00280C7A"/>
    <w:rsid w:val="003334BF"/>
    <w:rsid w:val="00483DB7"/>
    <w:rsid w:val="006B0DF0"/>
    <w:rsid w:val="006F4357"/>
    <w:rsid w:val="007C2340"/>
    <w:rsid w:val="007E5A96"/>
    <w:rsid w:val="007F3BC5"/>
    <w:rsid w:val="00832EEA"/>
    <w:rsid w:val="0084707A"/>
    <w:rsid w:val="008776CE"/>
    <w:rsid w:val="008D03A5"/>
    <w:rsid w:val="00973B2A"/>
    <w:rsid w:val="009F53AF"/>
    <w:rsid w:val="00A055B9"/>
    <w:rsid w:val="00A43719"/>
    <w:rsid w:val="00A51941"/>
    <w:rsid w:val="00BC16E4"/>
    <w:rsid w:val="00C61903"/>
    <w:rsid w:val="00D63F33"/>
    <w:rsid w:val="00EA3EF4"/>
    <w:rsid w:val="00FF41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G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F82B57"/>
  <w15:docId w15:val="{414EE7C7-C2B0-4DE1-AC27-DA1B6A3387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eastAsia="Aptos" w:hAnsi="Aptos" w:cs="Aptos"/>
        <w:sz w:val="22"/>
        <w:szCs w:val="22"/>
        <w:lang w:val="es-GT" w:eastAsia="es-G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table" w:customStyle="1" w:styleId="a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1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customStyle="1" w:styleId="Default">
    <w:name w:val="Default"/>
    <w:rsid w:val="00A51941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550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mailto:financiero@munisanlucas.gob.gt" TargetMode="Externa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AbPg5Z83pwYLXiRsFaWPPctf7SA==">CgMxLjA4AHIhMTJzQ1hjUEIzYk9sbjhvNkt4S0tqYmFNdXBQSm9CY01T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9</Pages>
  <Words>818</Words>
  <Characters>4664</Characters>
  <Application>Microsoft Office Word</Application>
  <DocSecurity>0</DocSecurity>
  <Lines>38</Lines>
  <Paragraphs>10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5472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William Fernando Cambara Cortez</dc:creator>
  <cp:lastModifiedBy>William Fernando Cambara Cortez</cp:lastModifiedBy>
  <cp:revision>4</cp:revision>
  <dcterms:created xsi:type="dcterms:W3CDTF">2025-07-18T15:44:00Z</dcterms:created>
  <dcterms:modified xsi:type="dcterms:W3CDTF">2025-07-18T16:06:00Z</dcterms:modified>
</cp:coreProperties>
</file>